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3B7081E7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EA5D1A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AE21F3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EA5D1A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AE21F3">
        <w:rPr>
          <w:rFonts w:asciiTheme="minorHAnsi" w:hAnsiTheme="minorHAnsi" w:cstheme="minorHAnsi"/>
          <w:bCs/>
          <w:color w:val="000000"/>
          <w:sz w:val="20"/>
          <w:szCs w:val="20"/>
        </w:rPr>
        <w:t>24/883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EA5D1A">
        <w:rPr>
          <w:rFonts w:asciiTheme="minorHAnsi" w:hAnsiTheme="minorHAnsi" w:cstheme="minorHAnsi"/>
          <w:color w:val="000000"/>
          <w:sz w:val="20"/>
          <w:szCs w:val="20"/>
        </w:rPr>
        <w:t>02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AE21F3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EA5D1A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AE21F3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>tywność – START!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E301" w14:textId="4DCFDA85" w:rsidR="00EA5D1A" w:rsidRPr="00EA5D1A" w:rsidRDefault="00EA5D1A" w:rsidP="00EA5D1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5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Zakwaterowanie 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pokojach jednoosobowych, dwuosobowych (w wyjątkowych przypadkach dopuszczalne są pokoje wieloosobowe) z łazienkami które przystosowane są dla </w:t>
            </w:r>
            <w:r w:rsidR="004C629D"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sób niepełnosprawnych (brodziki prysznicowe nie wyższe niż 2-3 cm, uchwyty przy sanitariatach, winda- warunek konieczny)  dla 41 osób w terminie 11-21.12.2024 r. Proszę wskazać ilość i rodzaj oferowanych pokoi. Pokoje powinny być przystosowane dla osób poruszających się na wózkach inwalidzkich.</w:t>
            </w:r>
            <w:r w:rsidR="00C02D82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Ze względu na charakterystykę obozu sportowego, wymagana odległość ośrodka</w:t>
            </w:r>
            <w:r w:rsidR="00C02D8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(miejsca noclegu uczestników)</w:t>
            </w:r>
            <w:r w:rsidR="00C02D82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trasy biegowej „Śladami Olimpijczyków” Obidowa oraz Centrum Narciarstwa Biegowego Gorce Klikuszowa, Klikuszowa 246, 34-404 Klikuszowa maksymalnie do 20 km</w:t>
            </w:r>
          </w:p>
          <w:p w14:paraId="17DC72B6" w14:textId="77777777" w:rsidR="00EA5D1A" w:rsidRPr="00EA5D1A" w:rsidRDefault="00EA5D1A" w:rsidP="00EA5D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1FE6DA" w14:textId="6779F390" w:rsidR="00EA5D1A" w:rsidRPr="00EA5D1A" w:rsidRDefault="00EA5D1A" w:rsidP="007149E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5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Wyżywienie 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w zakresie śniadania, obiadu (posiłek dwudaniowy z surówkami i napojami) oraz kolacji dla 41 osób w terminie 11-21.12.2024 r. (od kolacji w dniu 11.12.2024 r. do obiadu w dniu 21.12.2024 r.) 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2B5C6CA8" w:rsidR="00C720F7" w:rsidRPr="00EA5D1A" w:rsidRDefault="00C720F7" w:rsidP="00C720F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najem obiektów sportowych </w:t>
            </w:r>
            <w:r w:rsidR="00D458EA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dla 41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(w tym osób z niepełnosprawnościami oraz do 18 roku życia) osób w terminie </w:t>
            </w:r>
            <w:r w:rsidR="00EA5D1A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11-21.12.2024</w:t>
            </w:r>
          </w:p>
          <w:p w14:paraId="0CE81DF6" w14:textId="0F797B8F" w:rsidR="00C720F7" w:rsidRPr="00EA5D1A" w:rsidRDefault="00EA5D1A" w:rsidP="00EA5D1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Sala gimnastyczna</w:t>
            </w:r>
            <w:r w:rsidR="00C02D8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jak również inne obiekty sportowe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dostępn</w:t>
            </w:r>
            <w:r w:rsidR="00C02D8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 godzinach 08:00-22:00, dostosowan</w:t>
            </w:r>
            <w:r w:rsidR="00C02D8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 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dla osób niepełnosprawnych.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38F6" w14:textId="77777777" w:rsidR="006D1C7D" w:rsidRDefault="00C720F7" w:rsidP="00EA5D1A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880DAF">
              <w:rPr>
                <w:rFonts w:asciiTheme="minorHAnsi" w:hAnsiTheme="minorHAnsi" w:cstheme="minorHAnsi"/>
                <w:sz w:val="18"/>
                <w:szCs w:val="18"/>
              </w:rPr>
              <w:t>małopolskiego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niepełnosprawnościami, w tym poruszających się na wózkach inwalidzkich.</w:t>
            </w:r>
            <w:r w:rsidR="00EA5D1A">
              <w:rPr>
                <w:rFonts w:asciiTheme="minorHAnsi" w:hAnsiTheme="minorHAnsi" w:cstheme="minorHAnsi"/>
                <w:sz w:val="18"/>
                <w:szCs w:val="18"/>
              </w:rPr>
              <w:t xml:space="preserve"> Dostosowane drzwi wejściowe do wózków inwalidzkich (szerokość 80 cm) , dostosowane sanitariaty w tym brodzik prysznicowy maksymalnie 3 cm wysokości, uchwyty przy sanitariatach, winda warunek -konieczny. </w:t>
            </w:r>
          </w:p>
          <w:p w14:paraId="6B804EB2" w14:textId="340FB04C" w:rsidR="00C02D82" w:rsidRPr="0048210C" w:rsidRDefault="00C02D82" w:rsidP="00EA5D1A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Ze względu na charakterystykę obozu sportowego, wymagana odległość ośrodka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(miejsca noclegu uczestników)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trasy biegowej „Śladami Olimpijczyków” Obidowa oraz Centrum Narciarstwa Biegowego Gorce Klikuszowa, Klikuszowa 246, 34-404 Klikuszowa maksymalnie do 20 km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36DACAC4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Obiekt</w:t>
            </w:r>
            <w:r w:rsidR="00C02D82">
              <w:rPr>
                <w:rFonts w:asciiTheme="minorHAnsi" w:hAnsiTheme="minorHAnsi" w:cstheme="minorHAnsi"/>
                <w:sz w:val="18"/>
                <w:szCs w:val="18"/>
              </w:rPr>
              <w:t>- sala gimnastyczna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dostosowany dla osób niepełnosprawnych w tym poruszających się na wózkach inwalidzkich</w:t>
            </w:r>
            <w:r w:rsidR="00C02D82">
              <w:rPr>
                <w:rFonts w:asciiTheme="minorHAnsi" w:hAnsiTheme="minorHAnsi" w:cstheme="minorHAnsi"/>
                <w:sz w:val="18"/>
                <w:szCs w:val="18"/>
              </w:rPr>
              <w:t xml:space="preserve">. Dostępny w godzinach 08:00-22:00.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645FC"/>
    <w:rsid w:val="00070D87"/>
    <w:rsid w:val="00073DDA"/>
    <w:rsid w:val="00090897"/>
    <w:rsid w:val="0009351B"/>
    <w:rsid w:val="00096C62"/>
    <w:rsid w:val="000C0DD6"/>
    <w:rsid w:val="000C6D7B"/>
    <w:rsid w:val="000D053E"/>
    <w:rsid w:val="000D0F44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57D5"/>
    <w:rsid w:val="001675E4"/>
    <w:rsid w:val="001801B1"/>
    <w:rsid w:val="001804CC"/>
    <w:rsid w:val="00181E94"/>
    <w:rsid w:val="00182A4A"/>
    <w:rsid w:val="0019046C"/>
    <w:rsid w:val="00192370"/>
    <w:rsid w:val="00196C54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713B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4332"/>
    <w:rsid w:val="0049637C"/>
    <w:rsid w:val="004A1533"/>
    <w:rsid w:val="004A2143"/>
    <w:rsid w:val="004A700A"/>
    <w:rsid w:val="004B05A4"/>
    <w:rsid w:val="004C629D"/>
    <w:rsid w:val="004C68EC"/>
    <w:rsid w:val="004C6B1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2C3"/>
    <w:rsid w:val="00503977"/>
    <w:rsid w:val="005076BD"/>
    <w:rsid w:val="00522F04"/>
    <w:rsid w:val="00523186"/>
    <w:rsid w:val="00524777"/>
    <w:rsid w:val="00556D11"/>
    <w:rsid w:val="00561463"/>
    <w:rsid w:val="00570EFA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0182D"/>
    <w:rsid w:val="00614D24"/>
    <w:rsid w:val="00623539"/>
    <w:rsid w:val="006241E6"/>
    <w:rsid w:val="00625BF8"/>
    <w:rsid w:val="00630065"/>
    <w:rsid w:val="00634151"/>
    <w:rsid w:val="006346FC"/>
    <w:rsid w:val="0063775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0DAF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2E21"/>
    <w:rsid w:val="008D5DCD"/>
    <w:rsid w:val="008F1F68"/>
    <w:rsid w:val="008F25CF"/>
    <w:rsid w:val="008F4149"/>
    <w:rsid w:val="00900BFF"/>
    <w:rsid w:val="00903EA6"/>
    <w:rsid w:val="009066A0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C5967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E21F3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613AC"/>
    <w:rsid w:val="00B723DE"/>
    <w:rsid w:val="00B76660"/>
    <w:rsid w:val="00B97C97"/>
    <w:rsid w:val="00BA38B8"/>
    <w:rsid w:val="00BA3AB2"/>
    <w:rsid w:val="00BA523B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2D82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58EA"/>
    <w:rsid w:val="00D47498"/>
    <w:rsid w:val="00D62A64"/>
    <w:rsid w:val="00D73EA2"/>
    <w:rsid w:val="00D7792B"/>
    <w:rsid w:val="00D82C7B"/>
    <w:rsid w:val="00D9268C"/>
    <w:rsid w:val="00DA637F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5582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A5D1A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7CD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3248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Magdalena Ekiert</cp:lastModifiedBy>
  <cp:revision>8</cp:revision>
  <cp:lastPrinted>2023-03-15T10:43:00Z</cp:lastPrinted>
  <dcterms:created xsi:type="dcterms:W3CDTF">2024-11-19T13:49:00Z</dcterms:created>
  <dcterms:modified xsi:type="dcterms:W3CDTF">2024-12-02T11:35:00Z</dcterms:modified>
</cp:coreProperties>
</file>